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A59" w:rsidRDefault="00B43A59" w:rsidP="00061909">
      <w:pPr>
        <w:pStyle w:val="DocumentTitle"/>
      </w:pPr>
      <w:bookmarkStart w:id="0" w:name="_GoBack"/>
      <w:bookmarkEnd w:id="0"/>
      <w:r w:rsidRPr="00B43A59">
        <w:t>GridEx IV Frequently Asked Questions</w:t>
      </w:r>
    </w:p>
    <w:p w:rsidR="00B43A59" w:rsidRDefault="00B43A59" w:rsidP="00B43A59">
      <w:pPr>
        <w:jc w:val="both"/>
        <w:rPr>
          <w:rFonts w:ascii="Calibri" w:hAnsi="Calibri" w:cs="Tahoma"/>
          <w:b/>
          <w:sz w:val="22"/>
          <w:szCs w:val="22"/>
        </w:rPr>
      </w:pPr>
      <w:bookmarkStart w:id="1" w:name="_Toc195946480"/>
    </w:p>
    <w:p w:rsidR="00B43A59" w:rsidRPr="00B43A59" w:rsidRDefault="00B43A59" w:rsidP="00B43A59">
      <w:pPr>
        <w:jc w:val="both"/>
        <w:rPr>
          <w:rFonts w:ascii="Calibri" w:hAnsi="Calibri"/>
          <w:b/>
          <w:sz w:val="22"/>
          <w:szCs w:val="22"/>
        </w:rPr>
      </w:pPr>
      <w:r w:rsidRPr="00B43A59">
        <w:rPr>
          <w:rFonts w:ascii="Calibri" w:hAnsi="Calibri" w:cs="Tahoma"/>
          <w:b/>
          <w:sz w:val="22"/>
          <w:szCs w:val="22"/>
        </w:rPr>
        <w:t>What benefit do utilities receive by participating in GridEx IV?</w:t>
      </w:r>
    </w:p>
    <w:p w:rsidR="00B43A59" w:rsidRPr="00B43A59" w:rsidRDefault="00B43A59" w:rsidP="00B43A59">
      <w:pPr>
        <w:jc w:val="both"/>
        <w:rPr>
          <w:rFonts w:ascii="Calibri" w:hAnsi="Calibri" w:cs="Tahoma"/>
          <w:b/>
          <w:sz w:val="22"/>
          <w:szCs w:val="22"/>
        </w:rPr>
      </w:pPr>
      <w:r w:rsidRPr="00B43A59">
        <w:rPr>
          <w:rFonts w:ascii="Calibri" w:eastAsia="Calibri" w:hAnsi="Calibri"/>
          <w:sz w:val="22"/>
          <w:szCs w:val="22"/>
        </w:rPr>
        <w:t>NERC’s grid security exercise (GridEx) is designed for utilities (electricity and other critical sectors) to exercise their response to simulated coordinated cyber and physical security threats and incidents, strengthen utilities’ crisis communications relationships, and provide input for lessons learned. Like its predecessors, GridEx IV is a voluntary exercise that provides participants the opportunity to take part at a level that reflects their available resources and objectives, while being consistent with the NERC scenario. GridEx IV will help participants strengthen their capability to respond to and recover from severe events affecting the reliable operation of North America’s bulk electric system.</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Will compliance be reviewed during the exercise?</w:t>
      </w:r>
    </w:p>
    <w:p w:rsidR="00B43A59" w:rsidRPr="00B43A59" w:rsidRDefault="00B43A59" w:rsidP="00B43A59">
      <w:pPr>
        <w:jc w:val="both"/>
        <w:rPr>
          <w:rFonts w:ascii="Calibri" w:hAnsi="Calibri"/>
          <w:sz w:val="22"/>
          <w:szCs w:val="22"/>
        </w:rPr>
      </w:pPr>
      <w:r w:rsidRPr="00B43A59">
        <w:rPr>
          <w:rFonts w:ascii="Calibri" w:hAnsi="Calibri"/>
          <w:sz w:val="22"/>
          <w:szCs w:val="22"/>
        </w:rPr>
        <w:t xml:space="preserve">Compliance is not a part of the exercise. GridEx IV provides an opportunity for utilities and other stakeholders to exercise their cyber and physical security procedures in a learning environment. </w:t>
      </w:r>
    </w:p>
    <w:p w:rsidR="00B43A59" w:rsidRPr="00B43A59" w:rsidRDefault="00B43A59" w:rsidP="00B43A59">
      <w:pPr>
        <w:jc w:val="both"/>
        <w:rPr>
          <w:rFonts w:ascii="Calibri" w:hAnsi="Calibri"/>
          <w:sz w:val="22"/>
          <w:szCs w:val="22"/>
        </w:rPr>
      </w:pPr>
    </w:p>
    <w:p w:rsidR="00B43A59" w:rsidRPr="00B43A59" w:rsidRDefault="00B43A59" w:rsidP="00B43A59">
      <w:pPr>
        <w:jc w:val="both"/>
        <w:rPr>
          <w:rFonts w:ascii="Calibri" w:hAnsi="Calibri" w:cs="Tahoma"/>
          <w:b/>
          <w:sz w:val="22"/>
          <w:szCs w:val="22"/>
        </w:rPr>
      </w:pPr>
      <w:r w:rsidRPr="00B43A59">
        <w:rPr>
          <w:rFonts w:ascii="Calibri" w:hAnsi="Calibri" w:cs="Tahoma"/>
          <w:b/>
          <w:sz w:val="22"/>
          <w:szCs w:val="22"/>
        </w:rPr>
        <w:t xml:space="preserve">How do utilities register for the exercise? </w:t>
      </w:r>
    </w:p>
    <w:p w:rsidR="00B43A59" w:rsidRPr="00B43A59" w:rsidRDefault="00B43A59" w:rsidP="00B43A59">
      <w:pPr>
        <w:jc w:val="both"/>
        <w:rPr>
          <w:rFonts w:ascii="Arial" w:hAnsi="Arial" w:cs="Arial"/>
          <w:color w:val="333333"/>
          <w:sz w:val="22"/>
          <w:szCs w:val="22"/>
        </w:rPr>
      </w:pPr>
      <w:r w:rsidRPr="00B43A59">
        <w:rPr>
          <w:rFonts w:ascii="Calibri" w:hAnsi="Calibri" w:cs="Tahoma"/>
          <w:sz w:val="22"/>
          <w:szCs w:val="22"/>
        </w:rPr>
        <w:t xml:space="preserve">The Lead Planner identified by each utility is responsible for coordinating participation. Lead Planners may register all the individuals within their utility or allow these individuals to register themselves. Lead Planners from an organization wishing to participate in GridEx IV should send their contact information to GridEx_registration@bah.com. The Lead Planner will then be given access to the GridEx IV Planning Portal and included on future communications with relevant exercise information. </w:t>
      </w:r>
    </w:p>
    <w:p w:rsidR="00B43A59" w:rsidRPr="00B43A59" w:rsidRDefault="00B43A59" w:rsidP="00B43A59">
      <w:pPr>
        <w:jc w:val="both"/>
        <w:rPr>
          <w:rFonts w:ascii="Calibri" w:hAnsi="Calibri"/>
          <w:b/>
          <w:sz w:val="22"/>
          <w:szCs w:val="22"/>
        </w:rPr>
      </w:pPr>
      <w:r w:rsidRPr="00B43A59">
        <w:rPr>
          <w:rFonts w:ascii="Calibri" w:hAnsi="Calibri"/>
          <w:b/>
          <w:sz w:val="22"/>
          <w:szCs w:val="22"/>
        </w:rPr>
        <w:t>Can anyone participate GridEx IV?</w:t>
      </w:r>
    </w:p>
    <w:p w:rsidR="00B43A59" w:rsidRPr="00B43A59" w:rsidRDefault="00B43A59" w:rsidP="00B43A59">
      <w:pPr>
        <w:jc w:val="both"/>
        <w:rPr>
          <w:rFonts w:ascii="Calibri" w:hAnsi="Calibri"/>
          <w:sz w:val="22"/>
          <w:szCs w:val="22"/>
        </w:rPr>
      </w:pPr>
      <w:r w:rsidRPr="00B43A59">
        <w:rPr>
          <w:rFonts w:ascii="Calibri" w:hAnsi="Calibri"/>
          <w:sz w:val="22"/>
          <w:szCs w:val="22"/>
        </w:rPr>
        <w:t xml:space="preserve">GridEx IV participation is open only to registered utilities and others specifically invited by the utility (e.g., vendors, local law enforcement). In an effort to ensure GridEx IV is focused on security and operational response, the exercise is closed to media and the public. </w:t>
      </w:r>
      <w:r w:rsidRPr="00B43A59">
        <w:rPr>
          <w:rFonts w:ascii="Calibri" w:eastAsia="Calibri" w:hAnsi="Calibri"/>
          <w:color w:val="000000"/>
          <w:sz w:val="22"/>
          <w:szCs w:val="22"/>
          <w:shd w:val="clear" w:color="auto" w:fill="FFFFFF"/>
        </w:rPr>
        <w:t> A public report will be available following the exercise conclusion.</w:t>
      </w:r>
    </w:p>
    <w:p w:rsidR="00B43A59" w:rsidRPr="00B43A59" w:rsidRDefault="00B43A59" w:rsidP="00B43A59">
      <w:pPr>
        <w:jc w:val="both"/>
        <w:rPr>
          <w:rFonts w:ascii="Calibri" w:hAnsi="Calibri"/>
          <w:b/>
          <w:sz w:val="22"/>
          <w:szCs w:val="22"/>
        </w:rPr>
      </w:pPr>
    </w:p>
    <w:p w:rsidR="00B43A59" w:rsidRPr="00B43A59" w:rsidRDefault="00B43A59" w:rsidP="00B43A59">
      <w:pPr>
        <w:jc w:val="both"/>
        <w:rPr>
          <w:rFonts w:ascii="Arial" w:hAnsi="Arial" w:cs="Arial"/>
          <w:color w:val="333333"/>
          <w:sz w:val="27"/>
          <w:szCs w:val="27"/>
        </w:rPr>
      </w:pPr>
      <w:r w:rsidRPr="00B43A59">
        <w:rPr>
          <w:rFonts w:ascii="Calibri" w:hAnsi="Calibri"/>
          <w:b/>
          <w:sz w:val="22"/>
          <w:szCs w:val="22"/>
        </w:rPr>
        <w:t>Are there different levels of participation?</w:t>
      </w:r>
    </w:p>
    <w:p w:rsidR="00B43A59" w:rsidRPr="00B43A59" w:rsidRDefault="00B43A59" w:rsidP="00B43A59">
      <w:pPr>
        <w:jc w:val="both"/>
        <w:rPr>
          <w:rFonts w:ascii="Calibri" w:hAnsi="Calibri"/>
          <w:sz w:val="22"/>
          <w:szCs w:val="22"/>
        </w:rPr>
      </w:pPr>
      <w:r w:rsidRPr="00B43A59">
        <w:rPr>
          <w:rFonts w:ascii="Calibri" w:hAnsi="Calibri"/>
          <w:sz w:val="22"/>
          <w:szCs w:val="22"/>
        </w:rPr>
        <w:t>There are two levels of participation for organizations in GridEx IV; as an active organization or as an observing organization. Active organizations participate in planning conferences, adapt scenario injects to meet their local objectives, engage in dynamic crisis response, and communicate externally to other exercise participants for information sharing and coordination. Observing organizations have access to all planning materials including the scenario injects, do not communicate externally during the exercise, and may choose to tabletop or discuss scenario events internally. Utilities have the flexibility to switch from observing to active (or vice versa) as they gain knowledge of how they might best participate and dedicate the appropriate resources. NERC will provide planning and support to encourage first-time participating utilities to participate as an active organization.</w:t>
      </w:r>
      <w:r w:rsidRPr="00B43A59">
        <w:rPr>
          <w:rFonts w:ascii="Calibri" w:hAnsi="Calibri"/>
          <w:b/>
          <w:sz w:val="22"/>
          <w:szCs w:val="22"/>
        </w:rPr>
        <w:t xml:space="preserve"> </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What are other benefits to participation?</w:t>
      </w:r>
    </w:p>
    <w:p w:rsidR="00B43A59" w:rsidRPr="00B43A59" w:rsidRDefault="00B43A59" w:rsidP="00B43A59">
      <w:pPr>
        <w:jc w:val="both"/>
        <w:rPr>
          <w:rFonts w:ascii="Calibri" w:hAnsi="Calibri"/>
          <w:sz w:val="22"/>
          <w:szCs w:val="22"/>
        </w:rPr>
      </w:pPr>
      <w:r w:rsidRPr="00B43A59">
        <w:rPr>
          <w:rFonts w:ascii="Calibri" w:hAnsi="Calibri"/>
          <w:sz w:val="22"/>
          <w:szCs w:val="22"/>
        </w:rPr>
        <w:t>GridEx IV will foster and enhance relationship building across the electric industry and with public sector stakeholders, allowing organizations to fully execute their crisis response plans. Lead planners will have the ability to customize scenario events to achieve their local organizational objectives (e.g., use a physical security threat to prompt power system operators to move to their back-up control center.)</w:t>
      </w:r>
    </w:p>
    <w:p w:rsidR="00B43A59" w:rsidRPr="00B43A59" w:rsidRDefault="00B43A59" w:rsidP="00B43A59">
      <w:pPr>
        <w:jc w:val="both"/>
        <w:rPr>
          <w:rFonts w:ascii="Calibri" w:hAnsi="Calibri"/>
          <w:sz w:val="22"/>
          <w:szCs w:val="22"/>
        </w:rPr>
      </w:pPr>
    </w:p>
    <w:p w:rsidR="00B43A59" w:rsidRPr="00B43A59" w:rsidRDefault="00B43A59" w:rsidP="00B43A59">
      <w:pPr>
        <w:jc w:val="both"/>
        <w:rPr>
          <w:rFonts w:ascii="Calibri" w:hAnsi="Calibri"/>
          <w:sz w:val="22"/>
          <w:szCs w:val="22"/>
        </w:rPr>
      </w:pPr>
      <w:r w:rsidRPr="00B43A59">
        <w:rPr>
          <w:rFonts w:ascii="Calibri" w:hAnsi="Calibri"/>
          <w:sz w:val="22"/>
          <w:szCs w:val="22"/>
        </w:rPr>
        <w:t>NERC is planning for entity participants from active organizations to earn Continuing Education Hours. CEH hours are required by a number of certification programs and NERC is working to ensure hours are granted for participating NERC certified operators, as well as those individuals with information technology and physical security industry certifications.</w:t>
      </w:r>
    </w:p>
    <w:p w:rsidR="00B43A59" w:rsidRPr="00B43A59" w:rsidRDefault="00B43A59" w:rsidP="00B43A59">
      <w:pPr>
        <w:shd w:val="clear" w:color="auto" w:fill="FFFFFF"/>
        <w:spacing w:before="100" w:beforeAutospacing="1" w:after="100" w:afterAutospacing="1"/>
        <w:jc w:val="both"/>
        <w:rPr>
          <w:rFonts w:ascii="Calibri" w:hAnsi="Calibri"/>
          <w:sz w:val="22"/>
          <w:szCs w:val="22"/>
        </w:rPr>
      </w:pPr>
      <w:r w:rsidRPr="00B43A59">
        <w:rPr>
          <w:rFonts w:ascii="Calibri" w:hAnsi="Calibri"/>
          <w:sz w:val="22"/>
          <w:szCs w:val="22"/>
        </w:rPr>
        <w:lastRenderedPageBreak/>
        <w:t>For active organizations, GridEx IV will provide utilities with the opportunity to exercise their processes that support:</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EOP-004 - Event Reporting</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EOP-008 - Loss of Control Center Functionality</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CIP-008 - Incident Reporting and Response Planning</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CIP-009 - Recovery Plans for Critical Cyber Assets</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 xml:space="preserve">OE-417 exercise reporting </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Exercising internal and external communications and notification processes</w:t>
      </w:r>
    </w:p>
    <w:p w:rsidR="00B43A59" w:rsidRPr="00B43A59" w:rsidRDefault="00B43A59" w:rsidP="00B43A59">
      <w:pPr>
        <w:jc w:val="both"/>
        <w:rPr>
          <w:rFonts w:ascii="Calibri" w:hAnsi="Calibri"/>
          <w:b/>
          <w:sz w:val="22"/>
          <w:szCs w:val="22"/>
        </w:rPr>
      </w:pPr>
    </w:p>
    <w:p w:rsidR="00B43A59" w:rsidRPr="00B43A59" w:rsidRDefault="00B43A59" w:rsidP="00B43A59">
      <w:pPr>
        <w:jc w:val="both"/>
        <w:rPr>
          <w:rFonts w:ascii="Calibri" w:hAnsi="Calibri"/>
          <w:b/>
          <w:sz w:val="22"/>
          <w:szCs w:val="22"/>
        </w:rPr>
      </w:pPr>
      <w:r w:rsidRPr="00B43A59">
        <w:rPr>
          <w:rFonts w:ascii="Calibri" w:hAnsi="Calibri" w:cs="Tahoma"/>
          <w:b/>
          <w:sz w:val="22"/>
          <w:szCs w:val="22"/>
        </w:rPr>
        <w:t>When is the deadline to register</w:t>
      </w:r>
      <w:r w:rsidRPr="00B43A59">
        <w:rPr>
          <w:rFonts w:ascii="Calibri" w:hAnsi="Calibri"/>
          <w:b/>
          <w:sz w:val="22"/>
          <w:szCs w:val="22"/>
        </w:rPr>
        <w:t>?  </w:t>
      </w:r>
    </w:p>
    <w:p w:rsidR="00B43A59" w:rsidRPr="00B43A59" w:rsidRDefault="00B43A59" w:rsidP="00B43A59">
      <w:pPr>
        <w:jc w:val="both"/>
        <w:rPr>
          <w:rFonts w:ascii="Calibri" w:hAnsi="Calibri"/>
          <w:sz w:val="22"/>
          <w:szCs w:val="22"/>
        </w:rPr>
      </w:pPr>
      <w:r w:rsidRPr="00B43A59">
        <w:rPr>
          <w:rFonts w:ascii="Calibri" w:hAnsi="Calibri"/>
          <w:sz w:val="22"/>
          <w:szCs w:val="22"/>
        </w:rPr>
        <w:t>Registration for GridEx IV closes on October 31, 2017, to help ensure that utilities have enough time to participate effectively. Lead planners should register early to ensure they have enough time to participate in the planning and preparation process. Planning materials are available to give lead planners everything they might need to support their role in leading their organization and participants through the exercise.</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 xml:space="preserve">Will NERC prepare a public report after GridEx IV? </w:t>
      </w:r>
    </w:p>
    <w:p w:rsidR="00B43A59" w:rsidRPr="00B43A59" w:rsidRDefault="00B43A59" w:rsidP="00B43A59">
      <w:pPr>
        <w:jc w:val="both"/>
        <w:rPr>
          <w:rFonts w:ascii="Calibri" w:hAnsi="Calibri"/>
          <w:sz w:val="22"/>
          <w:szCs w:val="22"/>
        </w:rPr>
      </w:pPr>
      <w:r w:rsidRPr="00B43A59">
        <w:rPr>
          <w:rFonts w:ascii="Calibri" w:hAnsi="Calibri"/>
          <w:sz w:val="22"/>
          <w:szCs w:val="22"/>
        </w:rPr>
        <w:t>Yes. The report includes key observations and recommendations for improving the exercise.</w:t>
      </w:r>
    </w:p>
    <w:p w:rsidR="00B43A59" w:rsidRPr="00B43A59" w:rsidRDefault="00B43A59" w:rsidP="00B43A59">
      <w:pPr>
        <w:jc w:val="both"/>
        <w:rPr>
          <w:rFonts w:ascii="Calibri" w:eastAsia="Calibri" w:hAnsi="Calibri"/>
          <w:sz w:val="22"/>
          <w:szCs w:val="22"/>
        </w:rPr>
      </w:pPr>
    </w:p>
    <w:p w:rsidR="00B43A59" w:rsidRPr="00B43A59" w:rsidRDefault="00B43A59" w:rsidP="00B43A59">
      <w:pPr>
        <w:jc w:val="both"/>
        <w:rPr>
          <w:rFonts w:ascii="Calibri" w:eastAsia="Calibri" w:hAnsi="Calibri"/>
          <w:b/>
          <w:sz w:val="22"/>
          <w:szCs w:val="22"/>
        </w:rPr>
      </w:pPr>
      <w:r w:rsidRPr="00B43A59">
        <w:rPr>
          <w:rFonts w:ascii="Calibri" w:eastAsia="Calibri" w:hAnsi="Calibri"/>
          <w:b/>
          <w:sz w:val="22"/>
          <w:szCs w:val="22"/>
        </w:rPr>
        <w:t>How should GridEx IV participants respond to media inquiries regarding the exercise?</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 xml:space="preserve">GridEx IV participants may respond to media queries as they would respond to any media query. Participants may also direct any media inquiries to NERC communications staff – </w:t>
      </w:r>
      <w:hyperlink r:id="rId11" w:history="1">
        <w:r w:rsidRPr="00B43A59">
          <w:rPr>
            <w:rFonts w:ascii="Calibri" w:hAnsi="Calibri"/>
            <w:color w:val="0000FF"/>
            <w:sz w:val="22"/>
            <w:szCs w:val="22"/>
            <w:u w:val="single"/>
          </w:rPr>
          <w:t>Kimberly Mielcarek</w:t>
        </w:r>
      </w:hyperlink>
      <w:r w:rsidRPr="00B43A59">
        <w:rPr>
          <w:rFonts w:ascii="Calibri" w:hAnsi="Calibri"/>
          <w:sz w:val="22"/>
          <w:szCs w:val="22"/>
        </w:rPr>
        <w:t xml:space="preserve"> and </w:t>
      </w:r>
      <w:hyperlink r:id="rId12" w:history="1">
        <w:r w:rsidRPr="00B43A59">
          <w:rPr>
            <w:rFonts w:ascii="Calibri" w:hAnsi="Calibri"/>
            <w:color w:val="0000FF"/>
            <w:sz w:val="22"/>
            <w:szCs w:val="22"/>
            <w:u w:val="single"/>
          </w:rPr>
          <w:t>Marty Coyne</w:t>
        </w:r>
      </w:hyperlink>
      <w:r w:rsidRPr="00B43A59">
        <w:rPr>
          <w:rFonts w:ascii="Calibri" w:hAnsi="Calibri"/>
          <w:sz w:val="22"/>
          <w:szCs w:val="22"/>
        </w:rPr>
        <w:t>.</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NERC does not disclose the scenario premise or names of participating organizations, individuals. It is up to participating organization whether to let media know about the participation of the organization or its employees in GridEx IV.</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NERC will not respond to media queries about a specific entity, but will speak about the bulk electric system as a whole.</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 xml:space="preserve">Individuals and organizations participating in or observing GridEx IV should not disclose details of the exercise and instead refer all media inquiries about the details of the exercise to NERC communications staff – </w:t>
      </w:r>
      <w:hyperlink r:id="rId13" w:history="1">
        <w:r w:rsidRPr="00B43A59">
          <w:rPr>
            <w:rFonts w:ascii="Calibri" w:hAnsi="Calibri"/>
            <w:color w:val="0000FF"/>
            <w:sz w:val="22"/>
            <w:szCs w:val="22"/>
            <w:u w:val="single"/>
          </w:rPr>
          <w:t>Kimberly Mielcarek</w:t>
        </w:r>
      </w:hyperlink>
      <w:r w:rsidRPr="00B43A59">
        <w:rPr>
          <w:rFonts w:ascii="Calibri" w:hAnsi="Calibri"/>
          <w:sz w:val="22"/>
          <w:szCs w:val="22"/>
        </w:rPr>
        <w:t xml:space="preserve"> and </w:t>
      </w:r>
      <w:hyperlink r:id="rId14" w:history="1">
        <w:r w:rsidRPr="00B43A59">
          <w:rPr>
            <w:rFonts w:ascii="Calibri" w:hAnsi="Calibri"/>
            <w:color w:val="0000FF"/>
            <w:sz w:val="22"/>
            <w:szCs w:val="22"/>
            <w:u w:val="single"/>
          </w:rPr>
          <w:t>Marty Coyne</w:t>
        </w:r>
      </w:hyperlink>
      <w:r w:rsidRPr="00B43A59">
        <w:rPr>
          <w:rFonts w:ascii="Calibri" w:hAnsi="Calibri"/>
          <w:sz w:val="22"/>
          <w:szCs w:val="22"/>
        </w:rPr>
        <w:t>.</w:t>
      </w:r>
    </w:p>
    <w:p w:rsidR="00B43A59" w:rsidRPr="00B43A59" w:rsidRDefault="00B43A59" w:rsidP="00B43A59">
      <w:pPr>
        <w:jc w:val="both"/>
        <w:rPr>
          <w:rFonts w:ascii="Calibri" w:eastAsia="Calibri" w:hAnsi="Calibri"/>
          <w:sz w:val="22"/>
          <w:szCs w:val="22"/>
        </w:rPr>
      </w:pPr>
    </w:p>
    <w:p w:rsidR="00B43A59" w:rsidRPr="00B43A59" w:rsidRDefault="00B43A59" w:rsidP="00B43A59">
      <w:pPr>
        <w:spacing w:after="160" w:line="256" w:lineRule="auto"/>
        <w:rPr>
          <w:rFonts w:ascii="Calibri" w:eastAsia="Calibri" w:hAnsi="Calibri"/>
          <w:sz w:val="22"/>
          <w:szCs w:val="22"/>
        </w:rPr>
      </w:pPr>
      <w:r w:rsidRPr="00B43A59">
        <w:rPr>
          <w:rFonts w:ascii="Calibri" w:eastAsia="Calibri" w:hAnsi="Calibri"/>
          <w:sz w:val="22"/>
          <w:szCs w:val="22"/>
        </w:rPr>
        <w:t xml:space="preserve">For more information on GridEx IV, contact </w:t>
      </w:r>
      <w:hyperlink r:id="rId15" w:history="1">
        <w:r w:rsidRPr="00B43A59">
          <w:rPr>
            <w:rFonts w:ascii="Calibri" w:eastAsia="Calibri" w:hAnsi="Calibri"/>
            <w:color w:val="0000FF"/>
            <w:sz w:val="22"/>
            <w:szCs w:val="22"/>
            <w:u w:val="single"/>
          </w:rPr>
          <w:t>Jake Schmitter</w:t>
        </w:r>
      </w:hyperlink>
      <w:r w:rsidRPr="00B43A59">
        <w:rPr>
          <w:rFonts w:ascii="Calibri" w:eastAsia="Calibri" w:hAnsi="Calibri"/>
          <w:sz w:val="22"/>
          <w:szCs w:val="22"/>
        </w:rPr>
        <w:t>, Senior Manager of Training and Exercises, Electricity Information Sharing and Analysis Center.</w:t>
      </w:r>
    </w:p>
    <w:p w:rsidR="00D933A3" w:rsidRPr="000975BC" w:rsidRDefault="00D933A3" w:rsidP="00D933A3">
      <w:pPr>
        <w:pStyle w:val="DocumentSubtitle"/>
        <w:rPr>
          <w:color w:val="auto"/>
        </w:rPr>
      </w:pPr>
      <w:r w:rsidRPr="000975BC">
        <w:rPr>
          <w:color w:val="auto"/>
        </w:rPr>
        <w:t xml:space="preserve"> </w:t>
      </w:r>
      <w:bookmarkEnd w:id="1"/>
    </w:p>
    <w:sectPr w:rsidR="00D933A3" w:rsidRPr="000975BC" w:rsidSect="005B17AD">
      <w:headerReference w:type="default" r:id="rId16"/>
      <w:footerReference w:type="default" r:id="rId17"/>
      <w:headerReference w:type="first" r:id="rId18"/>
      <w:footerReference w:type="first" r:id="rId19"/>
      <w:pgSz w:w="12240" w:h="15840" w:code="1"/>
      <w:pgMar w:top="1728" w:right="936" w:bottom="1440" w:left="936"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2CA3" w:rsidRDefault="00402CA3">
      <w:r>
        <w:separator/>
      </w:r>
    </w:p>
  </w:endnote>
  <w:endnote w:type="continuationSeparator" w:id="0">
    <w:p w:rsidR="00402CA3" w:rsidRDefault="00402C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A9" w:rsidRPr="000975BC" w:rsidRDefault="00B43A59" w:rsidP="000975BC">
    <w:pPr>
      <w:pStyle w:val="Footer"/>
      <w:pBdr>
        <w:top w:val="single" w:sz="18" w:space="1" w:color="auto"/>
      </w:pBdr>
      <w:tabs>
        <w:tab w:val="clear" w:pos="10354"/>
        <w:tab w:val="right" w:pos="10350"/>
      </w:tabs>
      <w:ind w:left="0" w:right="18"/>
      <w:jc w:val="both"/>
      <w:rPr>
        <w:color w:val="auto"/>
      </w:rPr>
    </w:pPr>
    <w:r>
      <w:rPr>
        <w:color w:val="auto"/>
      </w:rPr>
      <w:t>TLP: WHITE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159" w:rsidRDefault="00C0181D">
    <w:pPr>
      <w:pStyle w:val="Footer"/>
    </w:pPr>
    <w:r>
      <w:rPr>
        <w:noProof/>
      </w:rPr>
      <w:drawing>
        <wp:anchor distT="0" distB="0" distL="114300" distR="114300" simplePos="0" relativeHeight="251668990" behindDoc="0" locked="0" layoutInCell="1" allowOverlap="1" wp14:anchorId="5B87F696" wp14:editId="5B87F697">
          <wp:simplePos x="0" y="0"/>
          <wp:positionH relativeFrom="column">
            <wp:posOffset>-448445</wp:posOffset>
          </wp:positionH>
          <wp:positionV relativeFrom="page">
            <wp:posOffset>9494196</wp:posOffset>
          </wp:positionV>
          <wp:extent cx="7470842" cy="27876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ndscape cover2.jpg"/>
                  <pic:cNvPicPr/>
                </pic:nvPicPr>
                <pic:blipFill>
                  <a:blip r:embed="rId1">
                    <a:extLst>
                      <a:ext uri="{28A0092B-C50C-407E-A947-70E740481C1C}">
                        <a14:useLocalDpi xmlns:a14="http://schemas.microsoft.com/office/drawing/2010/main" val="0"/>
                      </a:ext>
                    </a:extLst>
                  </a:blip>
                  <a:stretch>
                    <a:fillRect/>
                  </a:stretch>
                </pic:blipFill>
                <pic:spPr>
                  <a:xfrm>
                    <a:off x="0" y="0"/>
                    <a:ext cx="7539035" cy="2813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2CA3" w:rsidRDefault="00402CA3">
      <w:r>
        <w:separator/>
      </w:r>
    </w:p>
  </w:footnote>
  <w:footnote w:type="continuationSeparator" w:id="0">
    <w:p w:rsidR="00402CA3" w:rsidRDefault="00402C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A9" w:rsidRPr="00C0181D" w:rsidRDefault="00EC7C35" w:rsidP="00C0181D">
    <w:pPr>
      <w:pStyle w:val="Header"/>
      <w:tabs>
        <w:tab w:val="clear" w:pos="4680"/>
        <w:tab w:val="clear" w:pos="9360"/>
        <w:tab w:val="left" w:pos="2773"/>
      </w:tabs>
    </w:pPr>
    <w:r>
      <w:rPr>
        <w:rFonts w:eastAsia="Calibri" w:cs="Tahoma"/>
        <w:noProof/>
        <w:szCs w:val="22"/>
      </w:rPr>
      <w:drawing>
        <wp:anchor distT="0" distB="0" distL="114300" distR="114300" simplePos="0" relativeHeight="251677182" behindDoc="0" locked="0" layoutInCell="1" allowOverlap="1" wp14:anchorId="25256129" wp14:editId="022D9F36">
          <wp:simplePos x="0" y="0"/>
          <wp:positionH relativeFrom="column">
            <wp:posOffset>303856</wp:posOffset>
          </wp:positionH>
          <wp:positionV relativeFrom="paragraph">
            <wp:posOffset>-412115</wp:posOffset>
          </wp:positionV>
          <wp:extent cx="3023287" cy="924405"/>
          <wp:effectExtent l="0" t="0" r="571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SAC Logo square.jpg"/>
                  <pic:cNvPicPr/>
                </pic:nvPicPr>
                <pic:blipFill>
                  <a:blip r:embed="rId1">
                    <a:extLst>
                      <a:ext uri="{28A0092B-C50C-407E-A947-70E740481C1C}">
                        <a14:useLocalDpi xmlns:a14="http://schemas.microsoft.com/office/drawing/2010/main" val="0"/>
                      </a:ext>
                    </a:extLst>
                  </a:blip>
                  <a:stretch>
                    <a:fillRect/>
                  </a:stretch>
                </pic:blipFill>
                <pic:spPr>
                  <a:xfrm>
                    <a:off x="0" y="0"/>
                    <a:ext cx="3023287" cy="924405"/>
                  </a:xfrm>
                  <a:prstGeom prst="rect">
                    <a:avLst/>
                  </a:prstGeom>
                </pic:spPr>
              </pic:pic>
            </a:graphicData>
          </a:graphic>
          <wp14:sizeRelH relativeFrom="margin">
            <wp14:pctWidth>0</wp14:pctWidth>
          </wp14:sizeRelH>
          <wp14:sizeRelV relativeFrom="margin">
            <wp14:pctHeight>0</wp14:pctHeight>
          </wp14:sizeRelV>
        </wp:anchor>
      </w:drawing>
    </w:r>
    <w:r w:rsidR="00C0181D">
      <w:rPr>
        <w:noProof/>
      </w:rPr>
      <w:drawing>
        <wp:anchor distT="0" distB="0" distL="114300" distR="114300" simplePos="0" relativeHeight="251671038" behindDoc="0" locked="0" layoutInCell="1" allowOverlap="1" wp14:anchorId="5B87F690" wp14:editId="5B87F691">
          <wp:simplePos x="0" y="0"/>
          <wp:positionH relativeFrom="margin">
            <wp:posOffset>-453390</wp:posOffset>
          </wp:positionH>
          <wp:positionV relativeFrom="page">
            <wp:posOffset>75362</wp:posOffset>
          </wp:positionV>
          <wp:extent cx="7490460" cy="89494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SAC doc cover.jpg"/>
                  <pic:cNvPicPr/>
                </pic:nvPicPr>
                <pic:blipFill rotWithShape="1">
                  <a:blip r:embed="rId2">
                    <a:extLst>
                      <a:ext uri="{28A0092B-C50C-407E-A947-70E740481C1C}">
                        <a14:useLocalDpi xmlns:a14="http://schemas.microsoft.com/office/drawing/2010/main" val="0"/>
                      </a:ext>
                    </a:extLst>
                  </a:blip>
                  <a:srcRect l="1736" t="6749" r="2101" b="81401"/>
                  <a:stretch/>
                </pic:blipFill>
                <pic:spPr bwMode="auto">
                  <a:xfrm>
                    <a:off x="0" y="0"/>
                    <a:ext cx="7490460" cy="894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0181D">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BD" w:rsidRDefault="004B4F5E" w:rsidP="00661BBD">
    <w:r>
      <w:rPr>
        <w:rFonts w:eastAsia="Calibri" w:cs="Tahoma"/>
        <w:noProof/>
        <w:szCs w:val="22"/>
      </w:rPr>
      <w:drawing>
        <wp:anchor distT="0" distB="0" distL="114300" distR="114300" simplePos="0" relativeHeight="251675134" behindDoc="0" locked="0" layoutInCell="1" allowOverlap="1" wp14:anchorId="13FBDB5C" wp14:editId="0B0180E0">
          <wp:simplePos x="0" y="0"/>
          <wp:positionH relativeFrom="column">
            <wp:posOffset>295275</wp:posOffset>
          </wp:positionH>
          <wp:positionV relativeFrom="paragraph">
            <wp:posOffset>-382888</wp:posOffset>
          </wp:positionV>
          <wp:extent cx="3023287" cy="924405"/>
          <wp:effectExtent l="0" t="0" r="571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SAC Logo square.jpg"/>
                  <pic:cNvPicPr/>
                </pic:nvPicPr>
                <pic:blipFill>
                  <a:blip r:embed="rId1">
                    <a:extLst>
                      <a:ext uri="{28A0092B-C50C-407E-A947-70E740481C1C}">
                        <a14:useLocalDpi xmlns:a14="http://schemas.microsoft.com/office/drawing/2010/main" val="0"/>
                      </a:ext>
                    </a:extLst>
                  </a:blip>
                  <a:stretch>
                    <a:fillRect/>
                  </a:stretch>
                </pic:blipFill>
                <pic:spPr>
                  <a:xfrm>
                    <a:off x="0" y="0"/>
                    <a:ext cx="3023287" cy="924405"/>
                  </a:xfrm>
                  <a:prstGeom prst="rect">
                    <a:avLst/>
                  </a:prstGeom>
                </pic:spPr>
              </pic:pic>
            </a:graphicData>
          </a:graphic>
          <wp14:sizeRelH relativeFrom="margin">
            <wp14:pctWidth>0</wp14:pctWidth>
          </wp14:sizeRelH>
          <wp14:sizeRelV relativeFrom="margin">
            <wp14:pctHeight>0</wp14:pctHeight>
          </wp14:sizeRelV>
        </wp:anchor>
      </w:drawing>
    </w:r>
    <w:r w:rsidR="00883938">
      <w:rPr>
        <w:noProof/>
      </w:rPr>
      <w:drawing>
        <wp:anchor distT="0" distB="0" distL="114300" distR="114300" simplePos="0" relativeHeight="251666942" behindDoc="1" locked="0" layoutInCell="1" allowOverlap="1" wp14:anchorId="5B87F692" wp14:editId="5B87F693">
          <wp:simplePos x="0" y="0"/>
          <wp:positionH relativeFrom="margin">
            <wp:align>center</wp:align>
          </wp:positionH>
          <wp:positionV relativeFrom="page">
            <wp:posOffset>115659</wp:posOffset>
          </wp:positionV>
          <wp:extent cx="7487347" cy="907960"/>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SAC doc cover.jpg"/>
                  <pic:cNvPicPr/>
                </pic:nvPicPr>
                <pic:blipFill rotWithShape="1">
                  <a:blip r:embed="rId2">
                    <a:extLst>
                      <a:ext uri="{28A0092B-C50C-407E-A947-70E740481C1C}">
                        <a14:useLocalDpi xmlns:a14="http://schemas.microsoft.com/office/drawing/2010/main" val="0"/>
                      </a:ext>
                    </a:extLst>
                  </a:blip>
                  <a:srcRect l="1736" t="6749" r="2101" b="81223"/>
                  <a:stretch/>
                </pic:blipFill>
                <pic:spPr bwMode="auto">
                  <a:xfrm>
                    <a:off x="0" y="0"/>
                    <a:ext cx="7490460" cy="9083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61BBD">
      <w:rPr>
        <w:noProof/>
      </w:rPr>
      <mc:AlternateContent>
        <mc:Choice Requires="wps">
          <w:drawing>
            <wp:anchor distT="45720" distB="45720" distL="114300" distR="114300" simplePos="0" relativeHeight="251673086" behindDoc="0" locked="0" layoutInCell="1" allowOverlap="1" wp14:anchorId="5B87F694" wp14:editId="5B87F695">
              <wp:simplePos x="0" y="0"/>
              <wp:positionH relativeFrom="column">
                <wp:posOffset>3114675</wp:posOffset>
              </wp:positionH>
              <wp:positionV relativeFrom="paragraph">
                <wp:posOffset>-277495</wp:posOffset>
              </wp:positionV>
              <wp:extent cx="3909695" cy="7721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9695" cy="772160"/>
                      </a:xfrm>
                      <a:prstGeom prst="rect">
                        <a:avLst/>
                      </a:prstGeom>
                      <a:noFill/>
                      <a:ln w="9525">
                        <a:noFill/>
                        <a:miter lim="800000"/>
                        <a:headEnd/>
                        <a:tailEnd/>
                      </a:ln>
                    </wps:spPr>
                    <wps:txbx>
                      <w:txbxContent>
                        <w:p w:rsidR="00661BBD" w:rsidRPr="00661BBD" w:rsidRDefault="00661BBD" w:rsidP="00661BBD">
                          <w:pPr>
                            <w:jc w:val="right"/>
                            <w:rPr>
                              <w:rFonts w:ascii="Tahoma" w:hAnsi="Tahoma" w:cs="Tahoma"/>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87F694" id="_x0000_t202" coordsize="21600,21600" o:spt="202" path="m,l,21600r21600,l21600,xe">
              <v:stroke joinstyle="miter"/>
              <v:path gradientshapeok="t" o:connecttype="rect"/>
            </v:shapetype>
            <v:shape id="Text Box 2" o:spid="_x0000_s1026" type="#_x0000_t202" style="position:absolute;margin-left:245.25pt;margin-top:-21.85pt;width:307.85pt;height:60.8pt;z-index:2516730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" filled="f" stroked="f">
              <v:textbox>
                <w:txbxContent>
                  <w:p w:rsidR="00661BBD" w:rsidRPr="00661BBD" w:rsidRDefault="00661BBD" w:rsidP="00661BBD">
                    <w:pPr>
                      <w:jc w:val="right"/>
                      <w:rPr>
                        <w:rFonts w:ascii="Tahoma" w:hAnsi="Tahoma" w:cs="Tahoma"/>
                        <w:color w:val="FFFFFF" w:themeColor="background1"/>
                      </w:rPr>
                    </w:pPr>
                  </w:p>
                </w:txbxContent>
              </v:textbox>
              <w10:wrap type="square"/>
            </v:shape>
          </w:pict>
        </mc:Fallback>
      </mc:AlternateContent>
    </w:r>
  </w:p>
  <w:p w:rsidR="00661BBD" w:rsidRDefault="00661BBD"/>
  <w:p w:rsidR="00661BBD" w:rsidRDefault="00661BBD" w:rsidP="00661BBD">
    <w:pP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A6E06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0869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874C1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EE09D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C6C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8DA37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5A1E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166DA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62BB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CEAA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5666C"/>
    <w:multiLevelType w:val="multilevel"/>
    <w:tmpl w:val="8382A80E"/>
    <w:numStyleLink w:val="NERCListBullets"/>
  </w:abstractNum>
  <w:abstractNum w:abstractNumId="11" w15:restartNumberingAfterBreak="0">
    <w:nsid w:val="07F4529A"/>
    <w:multiLevelType w:val="multilevel"/>
    <w:tmpl w:val="93524A32"/>
    <w:lvl w:ilvl="0">
      <w:start w:val="1"/>
      <w:numFmt w:val="bullet"/>
      <w:lvlText w:val=""/>
      <w:lvlJc w:val="left"/>
      <w:pPr>
        <w:tabs>
          <w:tab w:val="num" w:pos="1800"/>
        </w:tabs>
        <w:ind w:left="1800" w:hanging="360"/>
      </w:pPr>
      <w:rPr>
        <w:rFonts w:ascii="Symbol" w:hAnsi="Symbol" w:hint="default"/>
      </w:rPr>
    </w:lvl>
    <w:lvl w:ilvl="1">
      <w:start w:val="186"/>
      <w:numFmt w:val="bullet"/>
      <w:lvlText w:val=""/>
      <w:lvlJc w:val="left"/>
      <w:pPr>
        <w:tabs>
          <w:tab w:val="num" w:pos="2520"/>
        </w:tabs>
        <w:ind w:left="2520" w:hanging="360"/>
      </w:pPr>
      <w:rPr>
        <w:rFonts w:ascii="Wingdings" w:hAnsi="Wingdings" w:hint="default"/>
      </w:rPr>
    </w:lvl>
    <w:lvl w:ilvl="2">
      <w:start w:val="186"/>
      <w:numFmt w:val="bullet"/>
      <w:lvlText w:val="o"/>
      <w:lvlJc w:val="left"/>
      <w:pPr>
        <w:tabs>
          <w:tab w:val="num" w:pos="3240"/>
        </w:tabs>
        <w:ind w:left="3240" w:hanging="360"/>
      </w:pPr>
      <w:rPr>
        <w:rFonts w:ascii="Courier New" w:hAnsi="Courier New" w:hint="default"/>
      </w:rPr>
    </w:lvl>
    <w:lvl w:ilvl="3">
      <w:start w:val="1"/>
      <w:numFmt w:val="bullet"/>
      <w:lvlText w:val="–"/>
      <w:lvlJc w:val="left"/>
      <w:pPr>
        <w:tabs>
          <w:tab w:val="num" w:pos="3960"/>
        </w:tabs>
        <w:ind w:left="3960" w:hanging="360"/>
      </w:pPr>
      <w:rPr>
        <w:rFonts w:ascii="Tahoma" w:hAnsi="Tahoma" w:hint="default"/>
      </w:rPr>
    </w:lvl>
    <w:lvl w:ilvl="4">
      <w:start w:val="1"/>
      <w:numFmt w:val="bullet"/>
      <w:lvlText w:val="•"/>
      <w:lvlJc w:val="left"/>
      <w:pPr>
        <w:tabs>
          <w:tab w:val="num" w:pos="4680"/>
        </w:tabs>
        <w:ind w:left="4680" w:hanging="360"/>
      </w:pPr>
      <w:rPr>
        <w:rFonts w:ascii="Tahoma" w:hAnsi="Tahoma"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o"/>
      <w:lvlJc w:val="left"/>
      <w:pPr>
        <w:tabs>
          <w:tab w:val="num" w:pos="6120"/>
        </w:tabs>
        <w:ind w:left="6120" w:hanging="360"/>
      </w:pPr>
      <w:rPr>
        <w:rFonts w:ascii="Courier New" w:hAnsi="Courier New" w:hint="default"/>
      </w:rPr>
    </w:lvl>
    <w:lvl w:ilvl="7">
      <w:start w:val="1"/>
      <w:numFmt w:val="bullet"/>
      <w:lvlText w:val="–"/>
      <w:lvlJc w:val="left"/>
      <w:pPr>
        <w:tabs>
          <w:tab w:val="num" w:pos="6840"/>
        </w:tabs>
        <w:ind w:left="6840" w:hanging="360"/>
      </w:pPr>
      <w:rPr>
        <w:rFonts w:ascii="Tahoma" w:hAnsi="Tahoma" w:hint="default"/>
      </w:rPr>
    </w:lvl>
    <w:lvl w:ilvl="8">
      <w:start w:val="1"/>
      <w:numFmt w:val="bullet"/>
      <w:lvlText w:val="•"/>
      <w:lvlJc w:val="left"/>
      <w:pPr>
        <w:tabs>
          <w:tab w:val="num" w:pos="7560"/>
        </w:tabs>
        <w:ind w:left="7560" w:hanging="360"/>
      </w:pPr>
      <w:rPr>
        <w:rFonts w:ascii="Tahoma" w:hAnsi="Tahoma" w:hint="default"/>
      </w:rPr>
    </w:lvl>
  </w:abstractNum>
  <w:abstractNum w:abstractNumId="12" w15:restartNumberingAfterBreak="0">
    <w:nsid w:val="0D24625D"/>
    <w:multiLevelType w:val="hybridMultilevel"/>
    <w:tmpl w:val="B840FD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D07DDE"/>
    <w:multiLevelType w:val="multilevel"/>
    <w:tmpl w:val="E98C51B8"/>
    <w:lvl w:ilvl="0">
      <w:start w:val="1"/>
      <w:numFmt w:val="bullet"/>
      <w:lvlText w:val=""/>
      <w:lvlJc w:val="left"/>
      <w:pPr>
        <w:tabs>
          <w:tab w:val="num" w:pos="720"/>
        </w:tabs>
        <w:ind w:left="720" w:hanging="360"/>
      </w:pPr>
      <w:rPr>
        <w:rFonts w:ascii="Symbol" w:hAnsi="Symbol" w:hint="default"/>
      </w:rPr>
    </w:lvl>
    <w:lvl w:ilvl="1">
      <w:start w:val="186"/>
      <w:numFmt w:val="bullet"/>
      <w:lvlText w:val=""/>
      <w:lvlJc w:val="left"/>
      <w:pPr>
        <w:tabs>
          <w:tab w:val="num" w:pos="1440"/>
        </w:tabs>
        <w:ind w:left="1440" w:hanging="360"/>
      </w:pPr>
      <w:rPr>
        <w:rFonts w:ascii="Wingdings" w:hAnsi="Wingdings" w:hint="default"/>
      </w:rPr>
    </w:lvl>
    <w:lvl w:ilvl="2">
      <w:start w:val="186"/>
      <w:numFmt w:val="bullet"/>
      <w:lvlText w:val="o"/>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Tahoma" w:hAnsi="Tahoma" w:hint="default"/>
      </w:rPr>
    </w:lvl>
    <w:lvl w:ilvl="4">
      <w:start w:val="1"/>
      <w:numFmt w:val="bullet"/>
      <w:lvlText w:val="•"/>
      <w:lvlJc w:val="left"/>
      <w:pPr>
        <w:tabs>
          <w:tab w:val="num" w:pos="3600"/>
        </w:tabs>
        <w:ind w:left="3600" w:hanging="360"/>
      </w:pPr>
      <w:rPr>
        <w:rFonts w:ascii="Tahoma" w:hAnsi="Tahoma"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o"/>
      <w:lvlJc w:val="left"/>
      <w:pPr>
        <w:tabs>
          <w:tab w:val="num" w:pos="5040"/>
        </w:tabs>
        <w:ind w:left="5040" w:hanging="360"/>
      </w:pPr>
      <w:rPr>
        <w:rFonts w:ascii="Courier New" w:hAnsi="Courier New" w:hint="default"/>
      </w:rPr>
    </w:lvl>
    <w:lvl w:ilvl="7">
      <w:start w:val="1"/>
      <w:numFmt w:val="bullet"/>
      <w:lvlText w:val="–"/>
      <w:lvlJc w:val="left"/>
      <w:pPr>
        <w:tabs>
          <w:tab w:val="num" w:pos="5760"/>
        </w:tabs>
        <w:ind w:left="5760" w:hanging="360"/>
      </w:pPr>
      <w:rPr>
        <w:rFonts w:ascii="Tahoma" w:hAnsi="Tahoma" w:hint="default"/>
      </w:rPr>
    </w:lvl>
    <w:lvl w:ilvl="8">
      <w:start w:val="1"/>
      <w:numFmt w:val="bullet"/>
      <w:lvlText w:val="•"/>
      <w:lvlJc w:val="left"/>
      <w:pPr>
        <w:tabs>
          <w:tab w:val="num" w:pos="6480"/>
        </w:tabs>
        <w:ind w:left="6480" w:hanging="360"/>
      </w:pPr>
      <w:rPr>
        <w:rFonts w:ascii="Tahoma" w:hAnsi="Tahoma" w:hint="default"/>
      </w:rPr>
    </w:lvl>
  </w:abstractNum>
  <w:abstractNum w:abstractNumId="14" w15:restartNumberingAfterBreak="0">
    <w:nsid w:val="1BDD33A2"/>
    <w:multiLevelType w:val="multilevel"/>
    <w:tmpl w:val="8382A80E"/>
    <w:numStyleLink w:val="NERCListBullets"/>
  </w:abstractNum>
  <w:abstractNum w:abstractNumId="15" w15:restartNumberingAfterBreak="0">
    <w:nsid w:val="2AD32C91"/>
    <w:multiLevelType w:val="multilevel"/>
    <w:tmpl w:val="142A023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E065AC9"/>
    <w:multiLevelType w:val="hybridMultilevel"/>
    <w:tmpl w:val="2E1C3E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2BB7B82"/>
    <w:multiLevelType w:val="hybridMultilevel"/>
    <w:tmpl w:val="1F0448F8"/>
    <w:lvl w:ilvl="0" w:tplc="225A29F6">
      <w:start w:val="2007"/>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A65844"/>
    <w:multiLevelType w:val="multilevel"/>
    <w:tmpl w:val="8382A80E"/>
    <w:numStyleLink w:val="NERCListBullets"/>
  </w:abstractNum>
  <w:abstractNum w:abstractNumId="19" w15:restartNumberingAfterBreak="0">
    <w:nsid w:val="44F123C3"/>
    <w:multiLevelType w:val="multilevel"/>
    <w:tmpl w:val="8382A80E"/>
    <w:styleLink w:val="NERCListBullets"/>
    <w:lvl w:ilvl="0">
      <w:start w:val="1"/>
      <w:numFmt w:val="bullet"/>
      <w:pStyle w:val="ListBullet"/>
      <w:lvlText w:val=""/>
      <w:lvlJc w:val="left"/>
      <w:pPr>
        <w:ind w:left="720" w:hanging="360"/>
      </w:pPr>
      <w:rPr>
        <w:rFonts w:ascii="Symbol" w:hAnsi="Symbol" w:hint="default"/>
      </w:rPr>
    </w:lvl>
    <w:lvl w:ilvl="1">
      <w:start w:val="1"/>
      <w:numFmt w:val="bullet"/>
      <w:pStyle w:val="ListBullet2"/>
      <w:lvlText w:val=""/>
      <w:lvlJc w:val="left"/>
      <w:pPr>
        <w:ind w:left="1080" w:hanging="360"/>
      </w:pPr>
      <w:rPr>
        <w:rFonts w:ascii="Wingdings" w:hAnsi="Wingdings" w:hint="default"/>
      </w:rPr>
    </w:lvl>
    <w:lvl w:ilvl="2">
      <w:start w:val="1"/>
      <w:numFmt w:val="bullet"/>
      <w:pStyle w:val="ListBullet3"/>
      <w:lvlText w:val="o"/>
      <w:lvlJc w:val="left"/>
      <w:pPr>
        <w:ind w:left="1440" w:hanging="360"/>
      </w:pPr>
      <w:rPr>
        <w:rFonts w:ascii="Courier New" w:hAnsi="Courier New" w:hint="default"/>
      </w:rPr>
    </w:lvl>
    <w:lvl w:ilvl="3">
      <w:start w:val="1"/>
      <w:numFmt w:val="bullet"/>
      <w:lvlText w:val="–"/>
      <w:lvlJc w:val="left"/>
      <w:pPr>
        <w:ind w:left="1800" w:hanging="360"/>
      </w:pPr>
      <w:rPr>
        <w:rFonts w:ascii="Calibri" w:hAnsi="Calibri" w:hint="default"/>
      </w:rPr>
    </w:lvl>
    <w:lvl w:ilvl="4">
      <w:start w:val="1"/>
      <w:numFmt w:val="bullet"/>
      <w:pStyle w:val="ListBullet5"/>
      <w:lvlText w:val="*"/>
      <w:lvlJc w:val="left"/>
      <w:pPr>
        <w:ind w:left="2160" w:hanging="360"/>
      </w:pPr>
      <w:rPr>
        <w:rFonts w:ascii="Courier New" w:hAnsi="Courier New" w:hint="default"/>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0" w15:restartNumberingAfterBreak="0">
    <w:nsid w:val="4CB62E7D"/>
    <w:multiLevelType w:val="hybridMultilevel"/>
    <w:tmpl w:val="8AF0B466"/>
    <w:lvl w:ilvl="0" w:tplc="8278AE7C">
      <w:start w:val="1"/>
      <w:numFmt w:val="decimal"/>
      <w:pStyle w:val="NumberingBullet1"/>
      <w:lvlText w:val="%1."/>
      <w:lvlJc w:val="left"/>
      <w:pPr>
        <w:ind w:left="720" w:hanging="360"/>
      </w:pPr>
      <w:rPr>
        <w:rFonts w:hint="default"/>
      </w:rPr>
    </w:lvl>
    <w:lvl w:ilvl="1" w:tplc="A7B8C718">
      <w:start w:val="1"/>
      <w:numFmt w:val="lowerLetter"/>
      <w:pStyle w:val="NumberingBullet2"/>
      <w:lvlText w:val="%2."/>
      <w:lvlJc w:val="left"/>
      <w:pPr>
        <w:ind w:left="1440" w:hanging="360"/>
      </w:pPr>
    </w:lvl>
    <w:lvl w:ilvl="2" w:tplc="77AEEE26">
      <w:start w:val="1"/>
      <w:numFmt w:val="lowerRoman"/>
      <w:pStyle w:val="NumberingBullet3"/>
      <w:lvlText w:val="%3."/>
      <w:lvlJc w:val="right"/>
      <w:pPr>
        <w:ind w:left="2160" w:hanging="180"/>
      </w:pPr>
    </w:lvl>
    <w:lvl w:ilvl="3" w:tplc="7D964484">
      <w:start w:val="1"/>
      <w:numFmt w:val="decimal"/>
      <w:pStyle w:val="NumberingBullet4"/>
      <w:lvlText w:val="(%4)"/>
      <w:lvlJc w:val="left"/>
      <w:pPr>
        <w:ind w:left="2880" w:hanging="360"/>
      </w:pPr>
      <w:rPr>
        <w:rFonts w:hint="default"/>
      </w:rPr>
    </w:lvl>
    <w:lvl w:ilvl="4" w:tplc="6DB2A3D2">
      <w:start w:val="1"/>
      <w:numFmt w:val="lowerLetter"/>
      <w:pStyle w:val="NumberingBullet5"/>
      <w:lvlText w:val="(%5)"/>
      <w:lvlJc w:val="left"/>
      <w:pPr>
        <w:ind w:left="3600" w:hanging="360"/>
      </w:pPr>
      <w:rPr>
        <w:rFonts w:hint="default"/>
      </w:rPr>
    </w:lvl>
    <w:lvl w:ilvl="5" w:tplc="52BC8DEE">
      <w:start w:val="1"/>
      <w:numFmt w:val="lowerRoman"/>
      <w:pStyle w:val="NumberingBullet6"/>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6241C"/>
    <w:multiLevelType w:val="hybridMultilevel"/>
    <w:tmpl w:val="85A6B724"/>
    <w:lvl w:ilvl="0" w:tplc="62B2C08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4E41850"/>
    <w:multiLevelType w:val="hybridMultilevel"/>
    <w:tmpl w:val="B602F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6735E9A"/>
    <w:multiLevelType w:val="hybridMultilevel"/>
    <w:tmpl w:val="173A9286"/>
    <w:lvl w:ilvl="0" w:tplc="8A102B6A">
      <w:start w:val="1"/>
      <w:numFmt w:val="bullet"/>
      <w:lvlText w:val=""/>
      <w:lvlJc w:val="left"/>
      <w:pPr>
        <w:tabs>
          <w:tab w:val="num" w:pos="720"/>
        </w:tabs>
        <w:ind w:left="720" w:hanging="360"/>
      </w:pPr>
      <w:rPr>
        <w:rFonts w:ascii="Wingdings" w:hAnsi="Wingdings" w:hint="default"/>
        <w:sz w:val="22"/>
        <w:szCs w:val="22"/>
      </w:rPr>
    </w:lvl>
    <w:lvl w:ilvl="1" w:tplc="4E2C40E0" w:tentative="1">
      <w:start w:val="1"/>
      <w:numFmt w:val="bullet"/>
      <w:lvlText w:val="o"/>
      <w:lvlJc w:val="left"/>
      <w:pPr>
        <w:tabs>
          <w:tab w:val="num" w:pos="1440"/>
        </w:tabs>
        <w:ind w:left="1440" w:hanging="360"/>
      </w:pPr>
      <w:rPr>
        <w:rFonts w:ascii="Courier New" w:hAnsi="Courier New" w:cs="Wingdings" w:hint="default"/>
      </w:rPr>
    </w:lvl>
    <w:lvl w:ilvl="2" w:tplc="5686D050" w:tentative="1">
      <w:start w:val="1"/>
      <w:numFmt w:val="bullet"/>
      <w:lvlText w:val=""/>
      <w:lvlJc w:val="left"/>
      <w:pPr>
        <w:tabs>
          <w:tab w:val="num" w:pos="2160"/>
        </w:tabs>
        <w:ind w:left="2160" w:hanging="360"/>
      </w:pPr>
      <w:rPr>
        <w:rFonts w:ascii="Wingdings" w:hAnsi="Wingdings" w:hint="default"/>
      </w:rPr>
    </w:lvl>
    <w:lvl w:ilvl="3" w:tplc="453C9DFA" w:tentative="1">
      <w:start w:val="1"/>
      <w:numFmt w:val="bullet"/>
      <w:lvlText w:val=""/>
      <w:lvlJc w:val="left"/>
      <w:pPr>
        <w:tabs>
          <w:tab w:val="num" w:pos="2880"/>
        </w:tabs>
        <w:ind w:left="2880" w:hanging="360"/>
      </w:pPr>
      <w:rPr>
        <w:rFonts w:ascii="Symbol" w:hAnsi="Symbol" w:hint="default"/>
      </w:rPr>
    </w:lvl>
    <w:lvl w:ilvl="4" w:tplc="08700056" w:tentative="1">
      <w:start w:val="1"/>
      <w:numFmt w:val="bullet"/>
      <w:lvlText w:val="o"/>
      <w:lvlJc w:val="left"/>
      <w:pPr>
        <w:tabs>
          <w:tab w:val="num" w:pos="3600"/>
        </w:tabs>
        <w:ind w:left="3600" w:hanging="360"/>
      </w:pPr>
      <w:rPr>
        <w:rFonts w:ascii="Courier New" w:hAnsi="Courier New" w:cs="Wingdings" w:hint="default"/>
      </w:rPr>
    </w:lvl>
    <w:lvl w:ilvl="5" w:tplc="4580AE5A" w:tentative="1">
      <w:start w:val="1"/>
      <w:numFmt w:val="bullet"/>
      <w:lvlText w:val=""/>
      <w:lvlJc w:val="left"/>
      <w:pPr>
        <w:tabs>
          <w:tab w:val="num" w:pos="4320"/>
        </w:tabs>
        <w:ind w:left="4320" w:hanging="360"/>
      </w:pPr>
      <w:rPr>
        <w:rFonts w:ascii="Wingdings" w:hAnsi="Wingdings" w:hint="default"/>
      </w:rPr>
    </w:lvl>
    <w:lvl w:ilvl="6" w:tplc="49826EFA" w:tentative="1">
      <w:start w:val="1"/>
      <w:numFmt w:val="bullet"/>
      <w:lvlText w:val=""/>
      <w:lvlJc w:val="left"/>
      <w:pPr>
        <w:tabs>
          <w:tab w:val="num" w:pos="5040"/>
        </w:tabs>
        <w:ind w:left="5040" w:hanging="360"/>
      </w:pPr>
      <w:rPr>
        <w:rFonts w:ascii="Symbol" w:hAnsi="Symbol" w:hint="default"/>
      </w:rPr>
    </w:lvl>
    <w:lvl w:ilvl="7" w:tplc="023C3312" w:tentative="1">
      <w:start w:val="1"/>
      <w:numFmt w:val="bullet"/>
      <w:lvlText w:val="o"/>
      <w:lvlJc w:val="left"/>
      <w:pPr>
        <w:tabs>
          <w:tab w:val="num" w:pos="5760"/>
        </w:tabs>
        <w:ind w:left="5760" w:hanging="360"/>
      </w:pPr>
      <w:rPr>
        <w:rFonts w:ascii="Courier New" w:hAnsi="Courier New" w:cs="Wingdings" w:hint="default"/>
      </w:rPr>
    </w:lvl>
    <w:lvl w:ilvl="8" w:tplc="A292349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457B43"/>
    <w:multiLevelType w:val="hybridMultilevel"/>
    <w:tmpl w:val="71E27B38"/>
    <w:lvl w:ilvl="0" w:tplc="351844A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22"/>
  </w:num>
  <w:num w:numId="4">
    <w:abstractNumId w:val="16"/>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3"/>
  </w:num>
  <w:num w:numId="18">
    <w:abstractNumId w:val="15"/>
  </w:num>
  <w:num w:numId="19">
    <w:abstractNumId w:val="11"/>
  </w:num>
  <w:num w:numId="20">
    <w:abstractNumId w:val="19"/>
  </w:num>
  <w:num w:numId="21">
    <w:abstractNumId w:val="14"/>
  </w:num>
  <w:num w:numId="22">
    <w:abstractNumId w:val="10"/>
  </w:num>
  <w:num w:numId="23">
    <w:abstractNumId w:val="18"/>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59"/>
    <w:rsid w:val="000067C8"/>
    <w:rsid w:val="00011D42"/>
    <w:rsid w:val="000334DF"/>
    <w:rsid w:val="00061909"/>
    <w:rsid w:val="00095896"/>
    <w:rsid w:val="000975BC"/>
    <w:rsid w:val="000A70BC"/>
    <w:rsid w:val="000B36CB"/>
    <w:rsid w:val="000B7A04"/>
    <w:rsid w:val="000D7162"/>
    <w:rsid w:val="000E3AB0"/>
    <w:rsid w:val="00102A01"/>
    <w:rsid w:val="00104317"/>
    <w:rsid w:val="001346AA"/>
    <w:rsid w:val="00136931"/>
    <w:rsid w:val="0015619B"/>
    <w:rsid w:val="001574EA"/>
    <w:rsid w:val="00196FDD"/>
    <w:rsid w:val="001A0CB3"/>
    <w:rsid w:val="001A6FC8"/>
    <w:rsid w:val="001B554B"/>
    <w:rsid w:val="001D47FD"/>
    <w:rsid w:val="00283FB4"/>
    <w:rsid w:val="002F2BFE"/>
    <w:rsid w:val="003134D1"/>
    <w:rsid w:val="0036024E"/>
    <w:rsid w:val="00366A96"/>
    <w:rsid w:val="0038676B"/>
    <w:rsid w:val="0039275D"/>
    <w:rsid w:val="003E1C41"/>
    <w:rsid w:val="00402CA3"/>
    <w:rsid w:val="00456B99"/>
    <w:rsid w:val="004631BF"/>
    <w:rsid w:val="00466905"/>
    <w:rsid w:val="004800C7"/>
    <w:rsid w:val="004859C6"/>
    <w:rsid w:val="004B4F5E"/>
    <w:rsid w:val="004B7DE3"/>
    <w:rsid w:val="004E7B5C"/>
    <w:rsid w:val="00510652"/>
    <w:rsid w:val="00520FD1"/>
    <w:rsid w:val="005316C6"/>
    <w:rsid w:val="005316F3"/>
    <w:rsid w:val="005471F6"/>
    <w:rsid w:val="00555F79"/>
    <w:rsid w:val="00573832"/>
    <w:rsid w:val="005A721A"/>
    <w:rsid w:val="005B17AD"/>
    <w:rsid w:val="005B7382"/>
    <w:rsid w:val="005D3F72"/>
    <w:rsid w:val="005D5CBF"/>
    <w:rsid w:val="00652754"/>
    <w:rsid w:val="00661BBD"/>
    <w:rsid w:val="00692F16"/>
    <w:rsid w:val="00694CD1"/>
    <w:rsid w:val="006B3EC7"/>
    <w:rsid w:val="006C1F78"/>
    <w:rsid w:val="006C3C30"/>
    <w:rsid w:val="006E67B7"/>
    <w:rsid w:val="007254EA"/>
    <w:rsid w:val="00733724"/>
    <w:rsid w:val="0074626C"/>
    <w:rsid w:val="00753012"/>
    <w:rsid w:val="00791651"/>
    <w:rsid w:val="00855BA8"/>
    <w:rsid w:val="00883938"/>
    <w:rsid w:val="008866E7"/>
    <w:rsid w:val="00905DC1"/>
    <w:rsid w:val="00985E57"/>
    <w:rsid w:val="009B1485"/>
    <w:rsid w:val="00A35DA7"/>
    <w:rsid w:val="00A6738A"/>
    <w:rsid w:val="00AC0C35"/>
    <w:rsid w:val="00AD1865"/>
    <w:rsid w:val="00B146D4"/>
    <w:rsid w:val="00B375B5"/>
    <w:rsid w:val="00B43A59"/>
    <w:rsid w:val="00B66159"/>
    <w:rsid w:val="00BA34E0"/>
    <w:rsid w:val="00BE5580"/>
    <w:rsid w:val="00C0181D"/>
    <w:rsid w:val="00C31EA1"/>
    <w:rsid w:val="00C802A9"/>
    <w:rsid w:val="00CC7BE7"/>
    <w:rsid w:val="00CF6E4A"/>
    <w:rsid w:val="00D228D6"/>
    <w:rsid w:val="00D56EBF"/>
    <w:rsid w:val="00D5715F"/>
    <w:rsid w:val="00D71B57"/>
    <w:rsid w:val="00D8646B"/>
    <w:rsid w:val="00D915AA"/>
    <w:rsid w:val="00D933A3"/>
    <w:rsid w:val="00D9670F"/>
    <w:rsid w:val="00D96A22"/>
    <w:rsid w:val="00DA634C"/>
    <w:rsid w:val="00DB62EC"/>
    <w:rsid w:val="00DB7C23"/>
    <w:rsid w:val="00DC5592"/>
    <w:rsid w:val="00E65B2F"/>
    <w:rsid w:val="00EB3B89"/>
    <w:rsid w:val="00EC7C35"/>
    <w:rsid w:val="00F31926"/>
    <w:rsid w:val="00F359FF"/>
    <w:rsid w:val="00FB5404"/>
    <w:rsid w:val="00FC7B36"/>
    <w:rsid w:val="00FF1E1F"/>
    <w:rsid w:val="00FF6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896"/>
    <w:rPr>
      <w:rFonts w:asciiTheme="minorHAnsi" w:hAnsiTheme="minorHAnsi"/>
      <w:sz w:val="24"/>
      <w:szCs w:val="24"/>
    </w:rPr>
  </w:style>
  <w:style w:type="paragraph" w:styleId="Heading1">
    <w:name w:val="heading 1"/>
    <w:basedOn w:val="Normal"/>
    <w:next w:val="Normal"/>
    <w:link w:val="Heading1Char"/>
    <w:uiPriority w:val="9"/>
    <w:qFormat/>
    <w:rsid w:val="002F2BFE"/>
    <w:pPr>
      <w:outlineLvl w:val="0"/>
    </w:pPr>
    <w:rPr>
      <w:rFonts w:ascii="Tahoma" w:hAnsi="Tahoma"/>
      <w:b/>
      <w:bCs/>
      <w:sz w:val="28"/>
      <w:szCs w:val="20"/>
    </w:rPr>
  </w:style>
  <w:style w:type="paragraph" w:styleId="Heading2">
    <w:name w:val="heading 2"/>
    <w:basedOn w:val="Normal"/>
    <w:next w:val="Normal"/>
    <w:link w:val="Heading2Char"/>
    <w:uiPriority w:val="9"/>
    <w:unhideWhenUsed/>
    <w:qFormat/>
    <w:rsid w:val="002F2BFE"/>
    <w:pPr>
      <w:outlineLvl w:val="1"/>
    </w:pPr>
    <w:rPr>
      <w:rFonts w:ascii="Tahoma" w:hAnsi="Tahoma"/>
      <w:b/>
      <w:bCs/>
      <w:sz w:val="22"/>
      <w:szCs w:val="20"/>
    </w:rPr>
  </w:style>
  <w:style w:type="paragraph" w:styleId="Heading3">
    <w:name w:val="heading 3"/>
    <w:basedOn w:val="Normal"/>
    <w:next w:val="Normal"/>
    <w:link w:val="Heading3Char"/>
    <w:qFormat/>
    <w:rsid w:val="002F2BFE"/>
    <w:pPr>
      <w:keepNext/>
      <w:outlineLvl w:val="2"/>
    </w:pPr>
    <w:rPr>
      <w:rFonts w:ascii="Tahoma" w:hAnsi="Tahoma" w:cs="Arial"/>
      <w:b/>
      <w:bCs/>
      <w:i/>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Normal"/>
    <w:qFormat/>
    <w:rsid w:val="002F2BFE"/>
    <w:rPr>
      <w:rFonts w:ascii="Tahoma" w:hAnsi="Tahoma"/>
      <w:b/>
      <w:bCs/>
      <w:color w:val="204C81"/>
      <w:sz w:val="44"/>
      <w:szCs w:val="20"/>
    </w:rPr>
  </w:style>
  <w:style w:type="paragraph" w:customStyle="1" w:styleId="Default">
    <w:name w:val="Default"/>
    <w:rsid w:val="00D56EBF"/>
    <w:pPr>
      <w:autoSpaceDE w:val="0"/>
      <w:autoSpaceDN w:val="0"/>
      <w:adjustRightInd w:val="0"/>
    </w:pPr>
    <w:rPr>
      <w:rFonts w:asciiTheme="minorHAnsi" w:hAnsiTheme="minorHAnsi"/>
      <w:color w:val="000000"/>
      <w:sz w:val="24"/>
      <w:szCs w:val="24"/>
    </w:rPr>
  </w:style>
  <w:style w:type="paragraph" w:styleId="BalloonText">
    <w:name w:val="Balloon Text"/>
    <w:basedOn w:val="Normal"/>
    <w:semiHidden/>
    <w:rsid w:val="00A80227"/>
    <w:rPr>
      <w:rFonts w:ascii="Tahoma" w:hAnsi="Tahoma" w:cs="Tahoma"/>
      <w:sz w:val="16"/>
      <w:szCs w:val="16"/>
    </w:rPr>
  </w:style>
  <w:style w:type="paragraph" w:styleId="CommentText">
    <w:name w:val="annotation text"/>
    <w:basedOn w:val="Normal"/>
    <w:semiHidden/>
    <w:rsid w:val="00744307"/>
    <w:rPr>
      <w:sz w:val="20"/>
      <w:szCs w:val="20"/>
    </w:rPr>
  </w:style>
  <w:style w:type="character" w:styleId="CommentReference">
    <w:name w:val="annotation reference"/>
    <w:basedOn w:val="DefaultParagraphFont"/>
    <w:semiHidden/>
    <w:rsid w:val="00744307"/>
    <w:rPr>
      <w:sz w:val="16"/>
      <w:szCs w:val="16"/>
    </w:rPr>
  </w:style>
  <w:style w:type="character" w:customStyle="1" w:styleId="Heading3Char">
    <w:name w:val="Heading 3 Char"/>
    <w:basedOn w:val="DefaultParagraphFont"/>
    <w:link w:val="Heading3"/>
    <w:rsid w:val="002F2BFE"/>
    <w:rPr>
      <w:rFonts w:ascii="Tahoma" w:hAnsi="Tahoma" w:cs="Arial"/>
      <w:b/>
      <w:bCs/>
      <w:i/>
      <w:sz w:val="22"/>
      <w:szCs w:val="26"/>
    </w:rPr>
  </w:style>
  <w:style w:type="table" w:styleId="TableGrid">
    <w:name w:val="Table Grid"/>
    <w:basedOn w:val="TableNormal"/>
    <w:rsid w:val="005A3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D91334"/>
    <w:rPr>
      <w:b/>
      <w:bCs/>
    </w:rPr>
  </w:style>
  <w:style w:type="character" w:customStyle="1" w:styleId="Heading1Char">
    <w:name w:val="Heading 1 Char"/>
    <w:basedOn w:val="DefaultParagraphFont"/>
    <w:link w:val="Heading1"/>
    <w:uiPriority w:val="9"/>
    <w:rsid w:val="002F2BFE"/>
    <w:rPr>
      <w:rFonts w:ascii="Tahoma" w:hAnsi="Tahoma"/>
      <w:b/>
      <w:bCs/>
      <w:sz w:val="28"/>
    </w:rPr>
  </w:style>
  <w:style w:type="character" w:customStyle="1" w:styleId="Heading2Char">
    <w:name w:val="Heading 2 Char"/>
    <w:basedOn w:val="DefaultParagraphFont"/>
    <w:link w:val="Heading2"/>
    <w:uiPriority w:val="9"/>
    <w:rsid w:val="002F2BFE"/>
    <w:rPr>
      <w:rFonts w:ascii="Tahoma" w:hAnsi="Tahoma"/>
      <w:b/>
      <w:bCs/>
      <w:sz w:val="22"/>
    </w:rPr>
  </w:style>
  <w:style w:type="paragraph" w:customStyle="1" w:styleId="DocumentSubtitle">
    <w:name w:val="Document Subtitle"/>
    <w:basedOn w:val="Normal"/>
    <w:qFormat/>
    <w:rsid w:val="002F2BFE"/>
    <w:rPr>
      <w:rFonts w:ascii="Tahoma" w:hAnsi="Tahoma"/>
      <w:color w:val="204C81"/>
      <w:sz w:val="32"/>
      <w:szCs w:val="20"/>
    </w:rPr>
  </w:style>
  <w:style w:type="paragraph" w:styleId="Header">
    <w:name w:val="header"/>
    <w:basedOn w:val="Normal"/>
    <w:link w:val="HeaderChar"/>
    <w:uiPriority w:val="99"/>
    <w:unhideWhenUsed/>
    <w:rsid w:val="00510652"/>
    <w:pPr>
      <w:tabs>
        <w:tab w:val="center" w:pos="4680"/>
        <w:tab w:val="right" w:pos="9360"/>
      </w:tabs>
    </w:pPr>
  </w:style>
  <w:style w:type="character" w:customStyle="1" w:styleId="HeaderChar">
    <w:name w:val="Header Char"/>
    <w:basedOn w:val="DefaultParagraphFont"/>
    <w:link w:val="Header"/>
    <w:uiPriority w:val="99"/>
    <w:rsid w:val="00510652"/>
    <w:rPr>
      <w:sz w:val="24"/>
      <w:szCs w:val="24"/>
    </w:rPr>
  </w:style>
  <w:style w:type="paragraph" w:styleId="Footer">
    <w:name w:val="footer"/>
    <w:basedOn w:val="Normal"/>
    <w:link w:val="FooterChar"/>
    <w:uiPriority w:val="99"/>
    <w:unhideWhenUsed/>
    <w:rsid w:val="00855BA8"/>
    <w:pPr>
      <w:pBdr>
        <w:top w:val="single" w:sz="18" w:space="1" w:color="204C81"/>
      </w:pBdr>
      <w:tabs>
        <w:tab w:val="left" w:pos="0"/>
        <w:tab w:val="right" w:pos="10354"/>
      </w:tabs>
      <w:ind w:left="-547" w:right="-547"/>
    </w:pPr>
    <w:rPr>
      <w:b/>
      <w:color w:val="204C81"/>
      <w:sz w:val="18"/>
    </w:rPr>
  </w:style>
  <w:style w:type="character" w:customStyle="1" w:styleId="FooterChar">
    <w:name w:val="Footer Char"/>
    <w:basedOn w:val="DefaultParagraphFont"/>
    <w:link w:val="Footer"/>
    <w:uiPriority w:val="99"/>
    <w:rsid w:val="00855BA8"/>
    <w:rPr>
      <w:rFonts w:asciiTheme="minorHAnsi" w:hAnsiTheme="minorHAnsi"/>
      <w:b/>
      <w:color w:val="204C81"/>
      <w:sz w:val="18"/>
      <w:szCs w:val="24"/>
    </w:rPr>
  </w:style>
  <w:style w:type="character" w:styleId="PageNumber">
    <w:name w:val="page number"/>
    <w:basedOn w:val="DefaultParagraphFont"/>
    <w:rsid w:val="00510652"/>
  </w:style>
  <w:style w:type="paragraph" w:styleId="ListBullet2">
    <w:name w:val="List Bullet 2"/>
    <w:basedOn w:val="Normal"/>
    <w:uiPriority w:val="99"/>
    <w:unhideWhenUsed/>
    <w:qFormat/>
    <w:rsid w:val="00095896"/>
    <w:pPr>
      <w:numPr>
        <w:ilvl w:val="1"/>
        <w:numId w:val="23"/>
      </w:numPr>
      <w:spacing w:before="120"/>
    </w:pPr>
  </w:style>
  <w:style w:type="paragraph" w:styleId="FootnoteText">
    <w:name w:val="footnote text"/>
    <w:basedOn w:val="Normal"/>
    <w:link w:val="FootnoteTextChar"/>
    <w:uiPriority w:val="99"/>
    <w:semiHidden/>
    <w:unhideWhenUsed/>
    <w:rsid w:val="005B7382"/>
    <w:rPr>
      <w:sz w:val="18"/>
    </w:rPr>
  </w:style>
  <w:style w:type="character" w:customStyle="1" w:styleId="FootnoteTextChar">
    <w:name w:val="Footnote Text Char"/>
    <w:basedOn w:val="DefaultParagraphFont"/>
    <w:link w:val="FootnoteText"/>
    <w:uiPriority w:val="99"/>
    <w:semiHidden/>
    <w:rsid w:val="005B7382"/>
    <w:rPr>
      <w:rFonts w:asciiTheme="minorHAnsi" w:hAnsiTheme="minorHAnsi"/>
      <w:sz w:val="18"/>
      <w:szCs w:val="24"/>
    </w:rPr>
  </w:style>
  <w:style w:type="numbering" w:customStyle="1" w:styleId="NERCListBullets">
    <w:name w:val="NERC List Bullets"/>
    <w:uiPriority w:val="99"/>
    <w:rsid w:val="00095896"/>
    <w:pPr>
      <w:numPr>
        <w:numId w:val="20"/>
      </w:numPr>
    </w:pPr>
  </w:style>
  <w:style w:type="paragraph" w:styleId="ListBullet">
    <w:name w:val="List Bullet"/>
    <w:basedOn w:val="Normal"/>
    <w:uiPriority w:val="99"/>
    <w:unhideWhenUsed/>
    <w:qFormat/>
    <w:rsid w:val="00095896"/>
    <w:pPr>
      <w:numPr>
        <w:numId w:val="23"/>
      </w:numPr>
      <w:spacing w:before="120"/>
    </w:pPr>
  </w:style>
  <w:style w:type="paragraph" w:styleId="ListBullet3">
    <w:name w:val="List Bullet 3"/>
    <w:basedOn w:val="Normal"/>
    <w:uiPriority w:val="99"/>
    <w:unhideWhenUsed/>
    <w:qFormat/>
    <w:rsid w:val="00095896"/>
    <w:pPr>
      <w:numPr>
        <w:ilvl w:val="2"/>
        <w:numId w:val="23"/>
      </w:numPr>
      <w:spacing w:before="120"/>
    </w:pPr>
  </w:style>
  <w:style w:type="character" w:styleId="FollowedHyperlink">
    <w:name w:val="FollowedHyperlink"/>
    <w:basedOn w:val="DefaultParagraphFont"/>
    <w:uiPriority w:val="99"/>
    <w:semiHidden/>
    <w:unhideWhenUsed/>
    <w:rsid w:val="006C3C30"/>
    <w:rPr>
      <w:color w:val="7030A0"/>
      <w:u w:val="single"/>
    </w:rPr>
  </w:style>
  <w:style w:type="character" w:styleId="Hyperlink">
    <w:name w:val="Hyperlink"/>
    <w:basedOn w:val="DefaultParagraphFont"/>
    <w:uiPriority w:val="99"/>
    <w:semiHidden/>
    <w:unhideWhenUsed/>
    <w:rsid w:val="006C3C30"/>
    <w:rPr>
      <w:color w:val="0000FF"/>
      <w:u w:val="single"/>
    </w:rPr>
  </w:style>
  <w:style w:type="paragraph" w:styleId="ListParagraph">
    <w:name w:val="List Paragraph"/>
    <w:basedOn w:val="Normal"/>
    <w:uiPriority w:val="34"/>
    <w:rsid w:val="00095896"/>
    <w:pPr>
      <w:ind w:left="720"/>
      <w:contextualSpacing/>
    </w:pPr>
  </w:style>
  <w:style w:type="paragraph" w:styleId="ListBullet4">
    <w:name w:val="List Bullet 4"/>
    <w:basedOn w:val="Normal"/>
    <w:uiPriority w:val="99"/>
    <w:unhideWhenUsed/>
    <w:rsid w:val="00095896"/>
    <w:pPr>
      <w:numPr>
        <w:ilvl w:val="3"/>
        <w:numId w:val="23"/>
      </w:numPr>
      <w:spacing w:before="120"/>
    </w:pPr>
  </w:style>
  <w:style w:type="paragraph" w:styleId="ListBullet5">
    <w:name w:val="List Bullet 5"/>
    <w:basedOn w:val="ListBullet3"/>
    <w:uiPriority w:val="99"/>
    <w:unhideWhenUsed/>
    <w:rsid w:val="00095896"/>
    <w:pPr>
      <w:numPr>
        <w:ilvl w:val="4"/>
      </w:numPr>
    </w:pPr>
  </w:style>
  <w:style w:type="paragraph" w:customStyle="1" w:styleId="NumberingBullet1">
    <w:name w:val="Numbering Bullet 1"/>
    <w:basedOn w:val="ListParagraph"/>
    <w:qFormat/>
    <w:rsid w:val="00095896"/>
    <w:pPr>
      <w:numPr>
        <w:numId w:val="24"/>
      </w:numPr>
      <w:spacing w:before="120"/>
      <w:contextualSpacing w:val="0"/>
    </w:pPr>
  </w:style>
  <w:style w:type="paragraph" w:customStyle="1" w:styleId="NumberingBullet2">
    <w:name w:val="Numbering Bullet 2"/>
    <w:basedOn w:val="ListParagraph"/>
    <w:rsid w:val="00095896"/>
    <w:pPr>
      <w:numPr>
        <w:ilvl w:val="1"/>
        <w:numId w:val="24"/>
      </w:numPr>
      <w:spacing w:before="120"/>
      <w:ind w:left="1080"/>
      <w:contextualSpacing w:val="0"/>
    </w:pPr>
  </w:style>
  <w:style w:type="paragraph" w:customStyle="1" w:styleId="NumberingBullet3">
    <w:name w:val="Numbering Bullet 3"/>
    <w:basedOn w:val="ListParagraph"/>
    <w:rsid w:val="00095896"/>
    <w:pPr>
      <w:numPr>
        <w:ilvl w:val="2"/>
        <w:numId w:val="24"/>
      </w:numPr>
      <w:spacing w:before="120"/>
      <w:ind w:left="1440"/>
      <w:contextualSpacing w:val="0"/>
    </w:pPr>
  </w:style>
  <w:style w:type="paragraph" w:customStyle="1" w:styleId="NumberingBullet4">
    <w:name w:val="Numbering Bullet 4"/>
    <w:basedOn w:val="ListParagraph"/>
    <w:rsid w:val="00095896"/>
    <w:pPr>
      <w:numPr>
        <w:ilvl w:val="3"/>
        <w:numId w:val="24"/>
      </w:numPr>
      <w:spacing w:before="120"/>
      <w:ind w:left="1800"/>
      <w:contextualSpacing w:val="0"/>
    </w:pPr>
  </w:style>
  <w:style w:type="paragraph" w:customStyle="1" w:styleId="NumberingBullet5">
    <w:name w:val="Numbering Bullet 5"/>
    <w:basedOn w:val="ListParagraph"/>
    <w:rsid w:val="00095896"/>
    <w:pPr>
      <w:numPr>
        <w:ilvl w:val="4"/>
        <w:numId w:val="24"/>
      </w:numPr>
      <w:spacing w:before="120"/>
      <w:ind w:left="2160"/>
      <w:contextualSpacing w:val="0"/>
    </w:pPr>
  </w:style>
  <w:style w:type="paragraph" w:customStyle="1" w:styleId="NumberingBullet6">
    <w:name w:val="Numbering Bullet 6"/>
    <w:basedOn w:val="ListParagraph"/>
    <w:rsid w:val="00095896"/>
    <w:pPr>
      <w:numPr>
        <w:ilvl w:val="5"/>
        <w:numId w:val="24"/>
      </w:numPr>
      <w:spacing w:before="120"/>
      <w:ind w:left="252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137648">
      <w:bodyDiv w:val="1"/>
      <w:marLeft w:val="0"/>
      <w:marRight w:val="0"/>
      <w:marTop w:val="0"/>
      <w:marBottom w:val="0"/>
      <w:divBdr>
        <w:top w:val="none" w:sz="0" w:space="0" w:color="auto"/>
        <w:left w:val="none" w:sz="0" w:space="0" w:color="auto"/>
        <w:bottom w:val="none" w:sz="0" w:space="0" w:color="auto"/>
        <w:right w:val="none" w:sz="0" w:space="0" w:color="auto"/>
      </w:divBdr>
    </w:div>
    <w:div w:id="132350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mberly.mielcarek@nerc.ne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tin.coyne@nerc.ne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mberly.mielcarek@nerc.net" TargetMode="External"/><Relationship Id="rId5" Type="http://schemas.openxmlformats.org/officeDocument/2006/relationships/numbering" Target="numbering.xml"/><Relationship Id="rId15" Type="http://schemas.openxmlformats.org/officeDocument/2006/relationships/hyperlink" Target="mailto:jacob.schmitter@eisac.com?subject=GridEx%20I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coyne@nerc.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19735\Downloads\E-ISAC%20Document%20Portrait%20(3).dotx" TargetMode="External"/></Relationships>
</file>

<file path=word/theme/theme1.xml><?xml version="1.0" encoding="utf-8"?>
<a:theme xmlns:a="http://schemas.openxmlformats.org/drawingml/2006/main" name="Office Theme">
  <a:themeElements>
    <a:clrScheme name="NERC Palette">
      <a:dk1>
        <a:srgbClr val="FFFFFF"/>
      </a:dk1>
      <a:lt1>
        <a:srgbClr val="FFFFFF"/>
      </a:lt1>
      <a:dk2>
        <a:srgbClr val="FFFFFF"/>
      </a:dk2>
      <a:lt2>
        <a:srgbClr val="FFFFFF"/>
      </a:lt2>
      <a:accent1>
        <a:srgbClr val="204C81"/>
      </a:accent1>
      <a:accent2>
        <a:srgbClr val="5D85A9"/>
      </a:accent2>
      <a:accent3>
        <a:srgbClr val="AFCDE3"/>
      </a:accent3>
      <a:accent4>
        <a:srgbClr val="D5D5D5"/>
      </a:accent4>
      <a:accent5>
        <a:srgbClr val="000000"/>
      </a:accent5>
      <a:accent6>
        <a:srgbClr val="000000"/>
      </a:accent6>
      <a:hlink>
        <a:srgbClr val="0000FF"/>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D2EC7DB3A56E4AA6D0ABC5B3601BDB" ma:contentTypeVersion="0" ma:contentTypeDescription="Create a new document." ma:contentTypeScope="" ma:versionID="2988e1c708374cb01fb80d4d00318da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A1D400-2C2F-43CE-9427-E3BA39C934FD}">
  <ds:schemaRefs>
    <ds:schemaRef ds:uri="http://schemas.microsoft.com/office/2006/metadata/properties"/>
  </ds:schemaRefs>
</ds:datastoreItem>
</file>

<file path=customXml/itemProps2.xml><?xml version="1.0" encoding="utf-8"?>
<ds:datastoreItem xmlns:ds="http://schemas.openxmlformats.org/officeDocument/2006/customXml" ds:itemID="{5C38DB56-92EB-4796-8EC0-0C069F4780F6}">
  <ds:schemaRefs>
    <ds:schemaRef ds:uri="http://schemas.microsoft.com/sharepoint/v3/contenttype/forms"/>
  </ds:schemaRefs>
</ds:datastoreItem>
</file>

<file path=customXml/itemProps3.xml><?xml version="1.0" encoding="utf-8"?>
<ds:datastoreItem xmlns:ds="http://schemas.openxmlformats.org/officeDocument/2006/customXml" ds:itemID="{C50059D6-AB12-470E-AA6A-83B88313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EA8F148-8452-49C2-A985-B0689E04E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E-ISAC Document Portrait (3)</Template>
  <TotalTime>0</TotalTime>
  <Pages>2</Pages>
  <Words>909</Words>
  <Characters>5185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E-ISAC Document Portrait</vt:lpstr>
    </vt:vector>
  </TitlesOfParts>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E-ISAC Document Portrait</dc:title>
  <dc:subject/>
  <dc:creator/>
  <cp:keywords/>
  <cp:lastModifiedBy/>
  <cp:revision>1</cp:revision>
  <dcterms:created xsi:type="dcterms:W3CDTF">2017-05-16T12:53:00Z</dcterms:created>
  <dcterms:modified xsi:type="dcterms:W3CDTF">2017-05-16T12:53:00Z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0x01010045D2EC7DB3A56E4AA6D0ABC5B3601BDB</vt:lpwstr>
  </property>
  <property fmtid="{D5CDD505-2E9C-101B-9397-08002B2CF9AE}" pid="3" name="Document Name">
    <vt:lpwstr>Document Portrait</vt:lpwstr>
  </property>
  <property fmtid="{D5CDD505-2E9C-101B-9397-08002B2CF9AE}" pid="4" name="Document Category">
    <vt:lpwstr>E-ISAC</vt:lpwstr>
  </property>
  <property fmtid="{D5CDD505-2E9C-101B-9397-08002B2CF9AE}" pid="5" name="Owner">
    <vt:lpwstr/>
  </property>
</Properties>
</file>